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drawing>
          <wp:inline distB="114300" distT="114300" distL="114300" distR="114300">
            <wp:extent cx="2351314" cy="1289957"/>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351314" cy="128995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pStyle w:val="Title"/>
        <w:rPr/>
      </w:pPr>
      <w:r w:rsidDel="00000000" w:rsidR="00000000" w:rsidRPr="00000000">
        <w:rPr>
          <w:rtl w:val="0"/>
        </w:rPr>
        <w:t xml:space="preserve">“Matrevic Invoice”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ind w:right="345"/>
        <w:jc w:val="center"/>
        <w:rPr>
          <w:rFonts w:ascii="Arial" w:cs="Arial" w:eastAsia="Arial" w:hAnsi="Arial"/>
          <w:b w:val="1"/>
        </w:rPr>
      </w:pPr>
      <w:r w:rsidDel="00000000" w:rsidR="00000000" w:rsidRPr="00000000">
        <w:rPr>
          <w:rFonts w:ascii="Arial" w:cs="Arial" w:eastAsia="Arial" w:hAnsi="Arial"/>
          <w:b w:val="1"/>
          <w:rtl w:val="0"/>
        </w:rPr>
        <w:t xml:space="preserve">Agent Agreement</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ind w:left="221" w:firstLine="0"/>
        <w:rPr>
          <w:rFonts w:ascii="Trebuchet MS" w:cs="Trebuchet MS" w:eastAsia="Trebuchet MS" w:hAnsi="Trebuchet MS"/>
          <w:sz w:val="20"/>
          <w:szCs w:val="20"/>
        </w:rPr>
      </w:pPr>
      <w:r w:rsidDel="00000000" w:rsidR="00000000" w:rsidRPr="00000000">
        <w:rPr>
          <w:rFonts w:ascii="Trebuchet MS" w:cs="Trebuchet MS" w:eastAsia="Trebuchet MS" w:hAnsi="Trebuchet MS"/>
          <w:b w:val="1"/>
          <w:sz w:val="20"/>
          <w:szCs w:val="20"/>
          <w:rtl w:val="0"/>
        </w:rPr>
        <w:t xml:space="preserve">THIS E-COMMERCE MERCHANT SERVICES AGREEMENT </w:t>
      </w:r>
      <w:r w:rsidDel="00000000" w:rsidR="00000000" w:rsidRPr="00000000">
        <w:rPr>
          <w:rFonts w:ascii="Trebuchet MS" w:cs="Trebuchet MS" w:eastAsia="Trebuchet MS" w:hAnsi="Trebuchet MS"/>
          <w:sz w:val="20"/>
          <w:szCs w:val="20"/>
          <w:rtl w:val="0"/>
        </w:rPr>
        <w:t xml:space="preserve">(“Agreement”) is signed on This __________ day of __________ 20_________</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85"/>
        </w:tabs>
        <w:spacing w:after="0" w:before="2" w:line="240" w:lineRule="auto"/>
        <w:ind w:left="221"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rebuchet MS" w:cs="Trebuchet MS" w:eastAsia="Trebuchet MS" w:hAnsi="Trebuchet MS"/>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50" w:right="4794" w:firstLine="0"/>
        <w:jc w:val="center"/>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Among:</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76"/>
          <w:tab w:val="left" w:leader="none" w:pos="9448"/>
        </w:tabs>
        <w:spacing w:after="0" w:before="0" w:line="240" w:lineRule="auto"/>
        <w:ind w:left="22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w:t>
      </w:r>
      <w:r w:rsidDel="00000000" w:rsidR="00000000" w:rsidRPr="00000000">
        <w:rPr>
          <w:rFonts w:ascii="Arial" w:cs="Arial" w:eastAsia="Arial" w:hAnsi="Arial"/>
          <w:b w:val="1"/>
          <w:sz w:val="20"/>
          <w:szCs w:val="20"/>
          <w:rtl w:val="0"/>
        </w:rPr>
        <w:t xml:space="preserve">atrevic Investments Limited is </w:t>
      </w:r>
      <w:r w:rsidDel="00000000" w:rsidR="00000000" w:rsidRPr="00000000">
        <w:rPr>
          <w:sz w:val="20"/>
          <w:szCs w:val="20"/>
          <w:rtl w:val="0"/>
        </w:rPr>
        <w:t xml:space="preserve">a c</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ompany, with a main office address of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 P.O BOX </w:t>
      </w:r>
      <w:r w:rsidDel="00000000" w:rsidR="00000000" w:rsidRPr="00000000">
        <w:rPr>
          <w:rFonts w:ascii="Times New Roman" w:cs="Times New Roman" w:eastAsia="Times New Roman" w:hAnsi="Times New Roman"/>
          <w:b w:val="1"/>
          <w:sz w:val="20"/>
          <w:szCs w:val="20"/>
          <w:u w:val="single"/>
          <w:rtl w:val="0"/>
        </w:rPr>
        <w:t xml:space="preserve">64873</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-00</w:t>
      </w:r>
      <w:r w:rsidDel="00000000" w:rsidR="00000000" w:rsidRPr="00000000">
        <w:rPr>
          <w:rFonts w:ascii="Times New Roman" w:cs="Times New Roman" w:eastAsia="Times New Roman" w:hAnsi="Times New Roman"/>
          <w:b w:val="1"/>
          <w:sz w:val="20"/>
          <w:szCs w:val="20"/>
          <w:u w:val="single"/>
          <w:rtl w:val="0"/>
        </w:rPr>
        <w:t xml:space="preserve">620</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 Nairobi, Kenya. Office</w:t>
      </w:r>
      <w:r w:rsidDel="00000000" w:rsidR="00000000" w:rsidRPr="00000000">
        <w:rPr>
          <w:rFonts w:ascii="Times New Roman" w:cs="Times New Roman" w:eastAsia="Times New Roman" w:hAnsi="Times New Roman"/>
          <w:b w:val="1"/>
          <w:sz w:val="20"/>
          <w:szCs w:val="20"/>
          <w:u w:val="single"/>
          <w:rtl w:val="0"/>
        </w:rPr>
        <w:t xml:space="preserve"> at Bhavesh Centre, 2</w:t>
      </w:r>
      <w:r w:rsidDel="00000000" w:rsidR="00000000" w:rsidRPr="00000000">
        <w:rPr>
          <w:rFonts w:ascii="Times New Roman" w:cs="Times New Roman" w:eastAsia="Times New Roman" w:hAnsi="Times New Roman"/>
          <w:b w:val="1"/>
          <w:sz w:val="20"/>
          <w:szCs w:val="20"/>
          <w:u w:val="single"/>
          <w:vertAlign w:val="superscript"/>
          <w:rtl w:val="0"/>
        </w:rPr>
        <w:t xml:space="preserve">nd </w:t>
      </w:r>
      <w:r w:rsidDel="00000000" w:rsidR="00000000" w:rsidRPr="00000000">
        <w:rPr>
          <w:rFonts w:ascii="Times New Roman" w:cs="Times New Roman" w:eastAsia="Times New Roman" w:hAnsi="Times New Roman"/>
          <w:b w:val="1"/>
          <w:sz w:val="20"/>
          <w:szCs w:val="20"/>
          <w:u w:val="single"/>
          <w:rtl w:val="0"/>
        </w:rPr>
        <w:t xml:space="preserve">floor, Ngara Rd,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Keny</w:t>
      </w:r>
      <w:r w:rsidDel="00000000" w:rsidR="00000000" w:rsidRPr="00000000">
        <w:rPr>
          <w:rFonts w:ascii="Times New Roman" w:cs="Times New Roman" w:eastAsia="Times New Roman" w:hAnsi="Times New Roman"/>
          <w:b w:val="1"/>
          <w:sz w:val="20"/>
          <w:szCs w:val="20"/>
          <w:u w:val="single"/>
          <w:rtl w:val="0"/>
        </w:rPr>
        <w:t xml:space="preserve">a.</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97"/>
        </w:tabs>
        <w:spacing w:after="0" w:before="94" w:line="240" w:lineRule="auto"/>
        <w:ind w:left="221"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 </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(hereafter </w:t>
      </w:r>
      <w:r w:rsidDel="00000000" w:rsidR="00000000" w:rsidRPr="00000000">
        <w:rPr>
          <w:sz w:val="20"/>
          <w:szCs w:val="20"/>
          <w:rtl w:val="0"/>
        </w:rPr>
        <w:t xml:space="preserve">collectively referred</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 to as “Service Provider”).</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21"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AND</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MT" w:cs="Arial MT" w:eastAsia="Arial MT" w:hAnsi="Arial MT"/>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4">
      <w:pPr>
        <w:tabs>
          <w:tab w:val="left" w:leader="none" w:pos="9416"/>
        </w:tabs>
        <w:spacing w:before="1" w:lineRule="auto"/>
        <w:ind w:left="221" w:firstLine="0"/>
        <w:rPr>
          <w:sz w:val="20"/>
          <w:szCs w:val="20"/>
        </w:rPr>
      </w:pPr>
      <w:r w:rsidDel="00000000" w:rsidR="00000000" w:rsidRPr="00000000">
        <w:rPr>
          <w:rFonts w:ascii="Times New Roman" w:cs="Times New Roman" w:eastAsia="Times New Roman" w:hAnsi="Times New Roman"/>
          <w:rtl w:val="0"/>
        </w:rPr>
        <w:t xml:space="preserve">“Insert your company name and address”</w:t>
      </w:r>
      <w:r w:rsidDel="00000000" w:rsidR="00000000" w:rsidRPr="00000000">
        <w:rPr>
          <w:rtl w:val="0"/>
        </w:rPr>
      </w:r>
    </w:p>
    <w:p w:rsidR="00000000" w:rsidDel="00000000" w:rsidP="00000000" w:rsidRDefault="00000000" w:rsidRPr="00000000" w14:paraId="00000015">
      <w:pPr>
        <w:tabs>
          <w:tab w:val="left" w:leader="none" w:pos="9416"/>
        </w:tabs>
        <w:spacing w:before="1" w:lineRule="auto"/>
        <w:ind w:left="221" w:firstLine="0"/>
        <w:rPr>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19"/>
        </w:tabs>
        <w:spacing w:after="0" w:before="94" w:line="240" w:lineRule="auto"/>
        <w:ind w:left="221" w:right="0" w:firstLine="0"/>
        <w:jc w:val="both"/>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 </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(hereafter </w:t>
      </w:r>
      <w:r w:rsidDel="00000000" w:rsidR="00000000" w:rsidRPr="00000000">
        <w:rPr>
          <w:sz w:val="20"/>
          <w:szCs w:val="20"/>
          <w:rtl w:val="0"/>
        </w:rPr>
        <w:t xml:space="preserve">collectively referred</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 to as “AGENT”).</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1" w:right="576" w:firstLine="0"/>
        <w:jc w:val="both"/>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 consideration of the mutual benefits </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to be derived by the association and/or affiliated companies, individuals,</w:t>
      </w:r>
      <w:r w:rsidDel="00000000" w:rsidR="00000000" w:rsidRPr="00000000">
        <w:rPr>
          <w:sz w:val="20"/>
          <w:szCs w:val="20"/>
          <w:rtl w:val="0"/>
        </w:rPr>
        <w:t xml:space="preserve"> </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corporations, partnerships, </w:t>
      </w:r>
      <w:r w:rsidDel="00000000" w:rsidR="00000000" w:rsidRPr="00000000">
        <w:rPr>
          <w:sz w:val="20"/>
          <w:szCs w:val="20"/>
          <w:rtl w:val="0"/>
        </w:rPr>
        <w:t xml:space="preserve">Agents</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 assignees, trustees, executors, or guarantors </w:t>
      </w:r>
      <w:r w:rsidDel="00000000" w:rsidR="00000000" w:rsidRPr="00000000">
        <w:rPr>
          <w:sz w:val="20"/>
          <w:szCs w:val="20"/>
          <w:rtl w:val="0"/>
        </w:rPr>
        <w:t xml:space="preserve">about</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 transactions between “Service </w:t>
      </w:r>
      <w:r w:rsidDel="00000000" w:rsidR="00000000" w:rsidRPr="00000000">
        <w:rPr>
          <w:sz w:val="20"/>
          <w:szCs w:val="20"/>
          <w:rtl w:val="0"/>
        </w:rPr>
        <w:t xml:space="preserve">Provider" and "Agent "</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1" w:right="577" w:firstLine="0"/>
        <w:jc w:val="both"/>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Whereas, the parties are mutually desirous of consummating various business transactions in cooperation with one another, specifically, payment processing brokerage with “Agent”, acting as an independent contractor for, “Service Provider” for their mutual benefit, and;</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1" w:right="585" w:firstLine="0"/>
        <w:jc w:val="both"/>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Whereas, it is agreed that neither party shall contact, in any manner, any third party, introduced by either party to this agreement, specifically for the </w:t>
      </w:r>
      <w:r w:rsidDel="00000000" w:rsidR="00000000" w:rsidRPr="00000000">
        <w:rPr>
          <w:sz w:val="20"/>
          <w:szCs w:val="20"/>
          <w:rtl w:val="0"/>
        </w:rPr>
        <w:t xml:space="preserve">purpose </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to compete with the introducing party of this agreement.</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1" w:right="0" w:firstLine="0"/>
        <w:jc w:val="both"/>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Now, therefore, the parties agree to abide by the terms and conditions set forth for that purpose: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pStyle w:val="Heading1"/>
        <w:ind w:firstLine="221"/>
        <w:jc w:val="both"/>
        <w:rPr/>
      </w:pPr>
      <w:r w:rsidDel="00000000" w:rsidR="00000000" w:rsidRPr="00000000">
        <w:rPr>
          <w:rtl w:val="0"/>
        </w:rPr>
        <w:t xml:space="preserve">Section 1.1 “Service Provider” Obligations.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82"/>
        </w:tabs>
        <w:spacing w:after="0" w:before="0" w:line="240" w:lineRule="auto"/>
        <w:ind w:left="581" w:right="577" w:hanging="360"/>
        <w:jc w:val="both"/>
        <w:rPr>
          <w:i w:val="0"/>
          <w:smallCaps w:val="0"/>
          <w:strike w:val="0"/>
          <w:color w:val="00000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“Service Provider” shall provide referral “Agent” and accepted Merchants with its customary support and service.</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82"/>
        </w:tabs>
        <w:spacing w:after="0" w:before="0" w:line="240" w:lineRule="auto"/>
        <w:ind w:left="581" w:right="577" w:hanging="360"/>
        <w:jc w:val="both"/>
        <w:rPr>
          <w:i w:val="0"/>
          <w:smallCaps w:val="0"/>
          <w:strike w:val="0"/>
          <w:color w:val="00000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“Service Provider” shall respond promptly within a reasonable </w:t>
      </w:r>
      <w:r w:rsidDel="00000000" w:rsidR="00000000" w:rsidRPr="00000000">
        <w:rPr>
          <w:sz w:val="20"/>
          <w:szCs w:val="20"/>
          <w:rtl w:val="0"/>
        </w:rPr>
        <w:t xml:space="preserve">period</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 to “Agent’s”</w:t>
      </w:r>
      <w:r w:rsidDel="00000000" w:rsidR="00000000" w:rsidRPr="00000000">
        <w:rPr>
          <w:sz w:val="20"/>
          <w:szCs w:val="20"/>
          <w:rtl w:val="0"/>
        </w:rPr>
        <w:t xml:space="preserve"> period referrals</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 for boarding and approvals.</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82"/>
        </w:tabs>
        <w:spacing w:after="0" w:before="0" w:line="240" w:lineRule="auto"/>
        <w:ind w:left="581" w:right="577" w:hanging="360"/>
        <w:jc w:val="both"/>
        <w:rPr>
          <w:i w:val="0"/>
          <w:smallCaps w:val="0"/>
          <w:strike w:val="0"/>
          <w:color w:val="00000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“Service Provider” shall provide notification to “Agent” on Merchants whose quality performance is under question. This includes reporting or statistics relating to said quality of business, i.e.</w:t>
      </w:r>
      <w:r w:rsidDel="00000000" w:rsidR="00000000" w:rsidRPr="00000000">
        <w:rPr>
          <w:sz w:val="20"/>
          <w:szCs w:val="20"/>
          <w:rtl w:val="0"/>
        </w:rPr>
        <w:t xml:space="preserve"> </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chargebacks</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82"/>
        </w:tabs>
        <w:spacing w:after="0" w:before="0" w:line="240" w:lineRule="auto"/>
        <w:ind w:left="581" w:right="581" w:hanging="360"/>
        <w:jc w:val="both"/>
        <w:rPr>
          <w:i w:val="0"/>
          <w:smallCaps w:val="0"/>
          <w:strike w:val="0"/>
          <w:color w:val="00000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“Service Provider” will provide reporting on Merchant production and payouts. “Agent” will have </w:t>
      </w:r>
      <w:r w:rsidDel="00000000" w:rsidR="00000000" w:rsidRPr="00000000">
        <w:rPr>
          <w:sz w:val="20"/>
          <w:szCs w:val="20"/>
          <w:rtl w:val="0"/>
        </w:rPr>
        <w:t xml:space="preserve">access to</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 sub-logins, per the </w:t>
      </w:r>
      <w:r w:rsidDel="00000000" w:rsidR="00000000" w:rsidRPr="00000000">
        <w:rPr>
          <w:sz w:val="20"/>
          <w:szCs w:val="20"/>
          <w:rtl w:val="0"/>
        </w:rPr>
        <w:t xml:space="preserve">approval</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 of the “Service Provider” to view “Agent’s” Merchant activity where applicable.</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82"/>
        </w:tabs>
        <w:spacing w:after="0" w:before="0" w:line="240" w:lineRule="auto"/>
        <w:ind w:left="581" w:right="578" w:hanging="360"/>
        <w:jc w:val="both"/>
        <w:rPr>
          <w:i w:val="0"/>
          <w:smallCaps w:val="0"/>
          <w:strike w:val="0"/>
          <w:color w:val="000000"/>
          <w:u w:val="none"/>
          <w:shd w:fill="auto" w:val="clear"/>
          <w:vertAlign w:val="baseline"/>
        </w:rPr>
        <w:sectPr>
          <w:footerReference r:id="rId8" w:type="default"/>
          <w:pgSz w:h="15840" w:w="12240" w:orient="portrait"/>
          <w:pgMar w:bottom="940" w:top="540" w:left="1580" w:right="600" w:header="720" w:footer="740"/>
          <w:pgNumType w:start="1"/>
        </w:sect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“Service Provider” will provide “Agent”, where applicable, overrides/commissions on Merchants that are set up directly with “Service Provider’s”</w:t>
      </w:r>
      <w:r w:rsidDel="00000000" w:rsidR="00000000" w:rsidRPr="00000000">
        <w:rPr>
          <w:sz w:val="20"/>
          <w:szCs w:val="20"/>
          <w:rtl w:val="0"/>
        </w:rPr>
        <w:t xml:space="preserve"> </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banking relationships.</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82"/>
        </w:tabs>
        <w:spacing w:after="0" w:before="74" w:line="240" w:lineRule="auto"/>
        <w:ind w:left="581" w:right="585" w:hanging="360"/>
        <w:jc w:val="both"/>
        <w:rPr>
          <w:i w:val="0"/>
          <w:smallCaps w:val="0"/>
          <w:strike w:val="0"/>
          <w:color w:val="00000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“Service Provider” shall provide “Agent” with a list of products its banks find unacceptable to process and a list of countries where the Bank does not want to process business.</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99"/>
        </w:tabs>
        <w:spacing w:after="0" w:before="0" w:line="240" w:lineRule="auto"/>
        <w:ind w:left="0" w:right="348" w:firstLine="0"/>
        <w:jc w:val="center"/>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See Addendum B</w:t>
        <w:tab/>
      </w:r>
    </w:p>
    <w:p w:rsidR="00000000" w:rsidDel="00000000" w:rsidP="00000000" w:rsidRDefault="00000000" w:rsidRPr="00000000" w14:paraId="0000003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999"/>
        </w:tabs>
        <w:spacing w:after="0" w:before="0" w:line="240" w:lineRule="auto"/>
        <w:ind w:left="720" w:right="348" w:hanging="360"/>
        <w:jc w:val="center"/>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Excluded Products and Countries</w:t>
      </w:r>
    </w:p>
    <w:p w:rsidR="00000000" w:rsidDel="00000000" w:rsidP="00000000" w:rsidRDefault="00000000" w:rsidRPr="00000000" w14:paraId="000000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82"/>
        </w:tabs>
        <w:spacing w:after="0" w:before="176" w:line="240" w:lineRule="auto"/>
        <w:ind w:left="582" w:right="0" w:hanging="361"/>
        <w:jc w:val="both"/>
        <w:rPr>
          <w:i w:val="0"/>
          <w:smallCaps w:val="0"/>
          <w:strike w:val="0"/>
          <w:color w:val="00000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“Service Provider” will respond to “Agent” within 48 hours regarding any funding request or issue.</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4">
      <w:pPr>
        <w:pStyle w:val="Heading1"/>
        <w:ind w:firstLine="221"/>
        <w:rPr/>
      </w:pPr>
      <w:r w:rsidDel="00000000" w:rsidR="00000000" w:rsidRPr="00000000">
        <w:rPr>
          <w:rtl w:val="0"/>
        </w:rPr>
        <w:t xml:space="preserve">Section 1.2 “Agent” Obligations.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5"/>
        </w:tabs>
        <w:spacing w:after="0" w:before="0" w:line="240" w:lineRule="auto"/>
        <w:ind w:left="221" w:right="581"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A,</w:t>
        <w:tab/>
        <w:t xml:space="preserve">“Agent” shall provide Merchants for “Service Provider’s” processing accounts that are consistent with the type of products that are acceptable to “Service Provider” and their bank(s).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1" w:right="577" w:firstLine="0"/>
        <w:jc w:val="both"/>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B. “Agent” shall exercise quality control and monitor (with supportive reporting from the “Service Provider”) their Merchants so that it meets the Banks/”Service Provider’s” chargeback level of acceptability.</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pStyle w:val="Heading1"/>
        <w:ind w:firstLine="221"/>
        <w:rPr/>
      </w:pPr>
      <w:r w:rsidDel="00000000" w:rsidR="00000000" w:rsidRPr="00000000">
        <w:rPr>
          <w:rtl w:val="0"/>
        </w:rPr>
        <w:t xml:space="preserve">Section 2.0. Term.</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82"/>
        </w:tabs>
        <w:spacing w:after="0" w:before="0" w:line="240" w:lineRule="auto"/>
        <w:ind w:left="581" w:right="581" w:hanging="360"/>
        <w:jc w:val="both"/>
        <w:rPr>
          <w:i w:val="0"/>
          <w:smallCaps w:val="0"/>
          <w:strike w:val="0"/>
          <w:color w:val="00000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Length of Agreement. This is a revolving agreement for two (2) years e affixed below and is to be applied in </w:t>
      </w:r>
      <w:r w:rsidDel="00000000" w:rsidR="00000000" w:rsidRPr="00000000">
        <w:rPr>
          <w:sz w:val="20"/>
          <w:szCs w:val="20"/>
          <w:rtl w:val="0"/>
        </w:rPr>
        <w:t xml:space="preserve">any</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 relationships introduced. </w:t>
      </w:r>
      <w:r w:rsidDel="00000000" w:rsidR="00000000" w:rsidRPr="00000000">
        <w:rPr>
          <w:sz w:val="20"/>
          <w:szCs w:val="20"/>
          <w:rtl w:val="0"/>
        </w:rPr>
        <w:t xml:space="preserve">any</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 hereby confirm that entities, corporations, trusts, or individuals, lenders or borrowers, buyers </w:t>
      </w:r>
      <w:r w:rsidDel="00000000" w:rsidR="00000000" w:rsidRPr="00000000">
        <w:rPr>
          <w:sz w:val="20"/>
          <w:szCs w:val="20"/>
          <w:rtl w:val="0"/>
        </w:rPr>
        <w:t xml:space="preserve">sellers</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 clients, or prospective clients, arising from this association are currently, and in the future, the introducing parties' signatories, shall remain so for the duration of this agreement.</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82"/>
        </w:tabs>
        <w:spacing w:after="0" w:before="1" w:line="240" w:lineRule="auto"/>
        <w:ind w:left="581" w:right="575" w:hanging="360"/>
        <w:jc w:val="both"/>
        <w:rPr>
          <w:i w:val="0"/>
          <w:smallCaps w:val="0"/>
          <w:strike w:val="0"/>
          <w:color w:val="00000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Renewal / Termination of Contract. The revolving term of this agreement is </w:t>
      </w:r>
      <w:r w:rsidDel="00000000" w:rsidR="00000000" w:rsidRPr="00000000">
        <w:rPr>
          <w:sz w:val="20"/>
          <w:szCs w:val="20"/>
          <w:rtl w:val="0"/>
        </w:rPr>
        <w:t xml:space="preserve">apprehended</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 as a means to continue with this agreement after two years, for another period of two </w:t>
      </w:r>
      <w:r w:rsidDel="00000000" w:rsidR="00000000" w:rsidRPr="00000000">
        <w:rPr>
          <w:sz w:val="20"/>
          <w:szCs w:val="20"/>
          <w:rtl w:val="0"/>
        </w:rPr>
        <w:t xml:space="preserve">nursing only</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 until one party </w:t>
      </w:r>
      <w:r w:rsidDel="00000000" w:rsidR="00000000" w:rsidRPr="00000000">
        <w:rPr>
          <w:sz w:val="20"/>
          <w:szCs w:val="20"/>
          <w:rtl w:val="0"/>
        </w:rPr>
        <w:t xml:space="preserve">provides a written</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 statement that they will not continue with </w:t>
      </w:r>
      <w:r w:rsidDel="00000000" w:rsidR="00000000" w:rsidRPr="00000000">
        <w:rPr>
          <w:sz w:val="20"/>
          <w:szCs w:val="20"/>
          <w:rtl w:val="0"/>
        </w:rPr>
        <w:t xml:space="preserve">the agreement</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 This written statement is only valid when either party provides written cancellation documentation at least two months </w:t>
      </w:r>
      <w:r w:rsidDel="00000000" w:rsidR="00000000" w:rsidRPr="00000000">
        <w:rPr>
          <w:sz w:val="20"/>
          <w:szCs w:val="20"/>
          <w:rtl w:val="0"/>
        </w:rPr>
        <w:t xml:space="preserve">before</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 the automatic renewal of this agreement.</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MT" w:cs="Arial MT" w:eastAsia="Arial MT" w:hAnsi="Arial MT"/>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0">
      <w:pPr>
        <w:pStyle w:val="Heading1"/>
        <w:ind w:firstLine="221"/>
        <w:rPr/>
      </w:pPr>
      <w:r w:rsidDel="00000000" w:rsidR="00000000" w:rsidRPr="00000000">
        <w:rPr>
          <w:rtl w:val="0"/>
        </w:rPr>
        <w:t xml:space="preserve">Section beforeeral Provisions.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82"/>
        </w:tabs>
        <w:spacing w:after="0" w:before="0" w:line="240" w:lineRule="auto"/>
        <w:ind w:left="581" w:right="578" w:hanging="360"/>
        <w:jc w:val="both"/>
        <w:rPr>
          <w:b w:val="0"/>
          <w:i w:val="0"/>
          <w:smallCaps w:val="0"/>
          <w:strike w:val="0"/>
          <w:color w:val="00000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This is to confirm that, save as hereinafter provided, both parties agree that they will not make any contact with, deal with, attempt to deal with, solicit, or otherwise be involved in any transaction(s)</w:t>
      </w:r>
      <w:r w:rsidDel="00000000" w:rsidR="00000000" w:rsidRPr="00000000">
        <w:rPr>
          <w:sz w:val="20"/>
          <w:szCs w:val="20"/>
          <w:rtl w:val="0"/>
        </w:rPr>
        <w:t xml:space="preserve"> </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with any banking or lending institution, equipment lessor, corporations, companies, or individuals, lenders or borrowers, buyers or sellers, or any relationship introduced by </w:t>
      </w:r>
      <w:r w:rsidDel="00000000" w:rsidR="00000000" w:rsidRPr="00000000">
        <w:rPr>
          <w:sz w:val="20"/>
          <w:szCs w:val="20"/>
          <w:rtl w:val="0"/>
        </w:rPr>
        <w:t xml:space="preserve">another party</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 without specific and expressly agreed permission </w:t>
      </w:r>
      <w:r w:rsidDel="00000000" w:rsidR="00000000" w:rsidRPr="00000000">
        <w:rPr>
          <w:sz w:val="20"/>
          <w:szCs w:val="20"/>
          <w:rtl w:val="0"/>
        </w:rPr>
        <w:t xml:space="preserve">another party </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in writing, or where it has been deemed </w:t>
      </w:r>
      <w:r w:rsidDel="00000000" w:rsidR="00000000" w:rsidRPr="00000000">
        <w:rPr>
          <w:sz w:val="20"/>
          <w:szCs w:val="20"/>
          <w:rtl w:val="0"/>
        </w:rPr>
        <w:t xml:space="preserve">vital</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 for the normal operation of this relationship.</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82"/>
        </w:tabs>
        <w:spacing w:after="0" w:before="0" w:line="240" w:lineRule="auto"/>
        <w:ind w:left="581" w:right="582" w:hanging="360"/>
        <w:jc w:val="both"/>
        <w:rPr>
          <w:b w:val="0"/>
          <w:i w:val="0"/>
          <w:smallCaps w:val="0"/>
          <w:strike w:val="0"/>
          <w:color w:val="00000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Save as</w:t>
      </w:r>
      <w:r w:rsidDel="00000000" w:rsidR="00000000" w:rsidRPr="00000000">
        <w:rPr>
          <w:sz w:val="20"/>
          <w:szCs w:val="20"/>
          <w:rtl w:val="0"/>
        </w:rPr>
        <w:t xml:space="preserve"> </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hereinafter provided, both parties hereby agree to keep completely confidential the names of any banks, lenders or borrowers, buyers or sellers, clients or prospective clients, introduced by any of the named signatories or their associates. Such identity shall remain confidential during</w:t>
      </w:r>
      <w:r w:rsidDel="00000000" w:rsidR="00000000" w:rsidRPr="00000000">
        <w:rPr>
          <w:sz w:val="20"/>
          <w:szCs w:val="20"/>
          <w:rtl w:val="0"/>
        </w:rPr>
        <w:t xml:space="preserve"> </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the</w:t>
      </w:r>
      <w:r w:rsidDel="00000000" w:rsidR="00000000" w:rsidRPr="00000000">
        <w:rPr>
          <w:sz w:val="20"/>
          <w:szCs w:val="20"/>
          <w:rtl w:val="0"/>
        </w:rPr>
        <w:t xml:space="preserve"> </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applicable transactions and </w:t>
      </w:r>
      <w:r w:rsidDel="00000000" w:rsidR="00000000" w:rsidRPr="00000000">
        <w:rPr>
          <w:sz w:val="20"/>
          <w:szCs w:val="20"/>
          <w:rtl w:val="0"/>
        </w:rPr>
        <w:t xml:space="preserve">the</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 duration of this agreement and </w:t>
      </w:r>
      <w:r w:rsidDel="00000000" w:rsidR="00000000" w:rsidRPr="00000000">
        <w:rPr>
          <w:sz w:val="20"/>
          <w:szCs w:val="20"/>
          <w:rtl w:val="0"/>
        </w:rPr>
        <w:t xml:space="preserve">shall</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 include any telephone numbers, addresses, telefax or fax numbers, website or electronic information, other pertinent information, etc. Such information is considered the property of introducing party, and we hereby agree to discuss same among ourselves for the determination as to what shall be disclosed, and mutually to agree on what procedures to use.</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82"/>
        </w:tabs>
        <w:spacing w:after="0" w:before="1" w:line="240" w:lineRule="auto"/>
        <w:ind w:left="581" w:right="580" w:hanging="360"/>
        <w:jc w:val="both"/>
        <w:rPr>
          <w:b w:val="0"/>
          <w:i w:val="0"/>
          <w:smallCaps w:val="0"/>
          <w:strike w:val="0"/>
          <w:color w:val="00000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This Agreement shall in no way be construed as being an agreement of partnership in such way any of the signatories of this agreement shall make any claim against separate dealings, ventures, or assets of the signatory nor shall any signatory be liable for any signatory's commitments or liabilities in business or personal dealings or situations.</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MT" w:cs="Arial MT" w:eastAsia="Arial MT" w:hAnsi="Arial MT"/>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8">
      <w:pPr>
        <w:pStyle w:val="Heading1"/>
        <w:ind w:firstLine="221"/>
        <w:rPr/>
      </w:pPr>
      <w:r w:rsidDel="00000000" w:rsidR="00000000" w:rsidRPr="00000000">
        <w:rPr>
          <w:rtl w:val="0"/>
        </w:rPr>
        <w:t xml:space="preserve">Section 4.0. “Agent” Payments. </w:t>
      </w:r>
      <w:r w:rsidDel="00000000" w:rsidR="00000000" w:rsidRPr="00000000">
        <w:rPr>
          <w:u w:val="single"/>
          <w:rtl w:val="0"/>
        </w:rPr>
        <w:t xml:space="preserve">See Addendum “A”</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582"/>
        </w:tabs>
        <w:spacing w:after="0" w:before="94" w:line="240" w:lineRule="auto"/>
        <w:ind w:left="581" w:right="582" w:hanging="360"/>
        <w:jc w:val="both"/>
        <w:rPr>
          <w:b w:val="0"/>
          <w:i w:val="0"/>
          <w:smallCaps w:val="0"/>
          <w:strike w:val="0"/>
          <w:color w:val="000000"/>
          <w:u w:val="none"/>
          <w:shd w:fill="auto" w:val="clear"/>
          <w:vertAlign w:val="baseline"/>
        </w:rPr>
        <w:sectPr>
          <w:type w:val="nextPage"/>
          <w:pgSz w:h="15840" w:w="12240" w:orient="portrait"/>
          <w:pgMar w:bottom="940" w:top="780" w:left="1580" w:right="600" w:header="0" w:footer="740"/>
        </w:sect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All payments are subject to change due to changes in Merchant rates and fees, provided “Service the Provider” gives Merchants advance notice of any change. Any notices are to via email for authentic verification.</w:t>
      </w: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62"/>
          <w:tab w:val="left" w:leader="none" w:pos="8227"/>
          <w:tab w:val="left" w:leader="none" w:pos="9435"/>
        </w:tabs>
        <w:spacing w:after="0" w:before="64" w:line="240" w:lineRule="auto"/>
        <w:ind w:left="761" w:right="566" w:hanging="360"/>
        <w:jc w:val="both"/>
        <w:rPr>
          <w:b w:val="0"/>
          <w:i w:val="0"/>
          <w:smallCaps w:val="0"/>
          <w:strike w:val="0"/>
          <w:color w:val="00000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“Service Provider” shall pay “Agent” any payments due via </w:t>
      </w:r>
      <w:r w:rsidDel="00000000" w:rsidR="00000000" w:rsidRPr="00000000">
        <w:rPr>
          <w:sz w:val="20"/>
          <w:szCs w:val="20"/>
          <w:rtl w:val="0"/>
        </w:rPr>
        <w:t xml:space="preserve">Bank Transfer</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 Payments are made on those Merchant accounts or Merchant service accounts that remain open, paid the required fees, and were not in collections during the preceding month. Any funds that exceed what Merchthe ant owes will be distributed to “</w:t>
      </w:r>
      <w:r w:rsidDel="00000000" w:rsidR="00000000" w:rsidRPr="00000000">
        <w:rPr>
          <w:sz w:val="20"/>
          <w:szCs w:val="20"/>
          <w:rtl w:val="0"/>
        </w:rPr>
        <w:t xml:space="preserve">The agent”</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 and will receive </w:t>
      </w:r>
      <w:r w:rsidDel="00000000" w:rsidR="00000000" w:rsidRPr="00000000">
        <w:rPr>
          <w:sz w:val="20"/>
          <w:szCs w:val="20"/>
          <w:rtl w:val="0"/>
        </w:rPr>
        <w:t xml:space="preserve">compensation north </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in this Agreement for as long as “Service Provider” receives revenue attributable to Merchants</w:t>
      </w:r>
      <w:r w:rsidDel="00000000" w:rsidR="00000000" w:rsidRPr="00000000">
        <w:rPr>
          <w:sz w:val="20"/>
          <w:szCs w:val="20"/>
          <w:rtl w:val="0"/>
        </w:rPr>
        <w:t xml:space="preserve"> </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placed under this Agreement </w:t>
      </w:r>
      <w:r w:rsidDel="00000000" w:rsidR="00000000" w:rsidRPr="00000000">
        <w:rPr>
          <w:sz w:val="20"/>
          <w:szCs w:val="20"/>
          <w:rtl w:val="0"/>
        </w:rPr>
        <w:t xml:space="preserve">despite any</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 cancellation, expiration, or termination of this </w:t>
      </w:r>
      <w:r w:rsidDel="00000000" w:rsidR="00000000" w:rsidRPr="00000000">
        <w:rPr>
          <w:sz w:val="20"/>
          <w:szCs w:val="20"/>
          <w:rtl w:val="0"/>
        </w:rPr>
        <w:t xml:space="preserve">Agreement</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 In witness whereof, the parties executed the agreement this________</w:t>
      </w:r>
      <w:r w:rsidDel="00000000" w:rsidR="00000000" w:rsidRPr="00000000">
        <w:rPr>
          <w:sz w:val="20"/>
          <w:szCs w:val="20"/>
          <w:rtl w:val="0"/>
        </w:rPr>
        <w:t xml:space="preserve"> </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day</w:t>
      </w:r>
      <w:r w:rsidDel="00000000" w:rsidR="00000000" w:rsidRPr="00000000">
        <w:rPr>
          <w:sz w:val="20"/>
          <w:szCs w:val="20"/>
          <w:rtl w:val="0"/>
        </w:rPr>
        <w:t xml:space="preserve"> </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of ______,</w:t>
      </w:r>
      <w:r w:rsidDel="00000000" w:rsidR="00000000" w:rsidRPr="00000000">
        <w:rPr>
          <w:sz w:val="20"/>
          <w:szCs w:val="20"/>
          <w:rtl w:val="0"/>
        </w:rPr>
        <w:t xml:space="preserve"> </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20</w:t>
      </w:r>
      <w:r w:rsidDel="00000000" w:rsidR="00000000" w:rsidRPr="00000000">
        <w:rPr>
          <w:sz w:val="20"/>
          <w:szCs w:val="20"/>
          <w:rtl w:val="0"/>
        </w:rPr>
        <w:t xml:space="preserve">___.</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
          <w:tab w:val="left" w:leader="none" w:pos="8227"/>
          <w:tab w:val="left" w:leader="none" w:pos="9435"/>
        </w:tabs>
        <w:spacing w:after="0" w:before="64" w:line="240" w:lineRule="auto"/>
        <w:ind w:left="582" w:right="566" w:firstLine="0"/>
        <w:jc w:val="both"/>
        <w:rPr>
          <w:sz w:val="20"/>
          <w:szCs w:val="20"/>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
          <w:tab w:val="left" w:leader="none" w:pos="8227"/>
          <w:tab w:val="left" w:leader="none" w:pos="9435"/>
        </w:tabs>
        <w:spacing w:after="0" w:before="64" w:line="240" w:lineRule="auto"/>
        <w:ind w:left="582" w:right="566" w:firstLine="0"/>
        <w:jc w:val="both"/>
        <w:rPr>
          <w:sz w:val="20"/>
          <w:szCs w:val="20"/>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
          <w:tab w:val="left" w:leader="none" w:pos="8227"/>
          <w:tab w:val="left" w:leader="none" w:pos="9435"/>
        </w:tabs>
        <w:spacing w:after="0" w:before="64" w:line="240" w:lineRule="auto"/>
        <w:ind w:left="582" w:right="566" w:firstLine="0"/>
        <w:jc w:val="both"/>
        <w:rPr>
          <w:sz w:val="20"/>
          <w:szCs w:val="20"/>
        </w:rPr>
      </w:pPr>
      <w:r w:rsidDel="00000000" w:rsidR="00000000" w:rsidRPr="00000000">
        <w:rPr>
          <w:sz w:val="20"/>
          <w:szCs w:val="20"/>
          <w:rtl w:val="0"/>
        </w:rPr>
        <w:t xml:space="preserve">     By:</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
          <w:tab w:val="left" w:leader="none" w:pos="8227"/>
          <w:tab w:val="left" w:leader="none" w:pos="9435"/>
        </w:tabs>
        <w:spacing w:after="0" w:before="64" w:line="240" w:lineRule="auto"/>
        <w:ind w:left="582" w:right="566" w:firstLine="0"/>
        <w:jc w:val="both"/>
        <w:rPr>
          <w:sz w:val="20"/>
          <w:szCs w:val="20"/>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
          <w:tab w:val="left" w:leader="none" w:pos="8227"/>
          <w:tab w:val="left" w:leader="none" w:pos="9435"/>
        </w:tabs>
        <w:spacing w:after="0" w:before="64" w:line="240" w:lineRule="auto"/>
        <w:ind w:left="582" w:right="566" w:firstLine="0"/>
        <w:jc w:val="both"/>
        <w:rPr>
          <w:sz w:val="20"/>
          <w:szCs w:val="20"/>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
          <w:tab w:val="left" w:leader="none" w:pos="8227"/>
          <w:tab w:val="left" w:leader="none" w:pos="9435"/>
        </w:tabs>
        <w:spacing w:after="0" w:before="64" w:line="240" w:lineRule="auto"/>
        <w:ind w:left="582" w:right="566" w:firstLine="0"/>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
          <w:tab w:val="left" w:leader="none" w:pos="8227"/>
          <w:tab w:val="left" w:leader="none" w:pos="9435"/>
        </w:tabs>
        <w:spacing w:after="0" w:before="64" w:line="240" w:lineRule="auto"/>
        <w:ind w:left="582" w:right="566" w:firstLine="0"/>
        <w:jc w:val="both"/>
        <w:rPr>
          <w:sz w:val="20"/>
          <w:szCs w:val="20"/>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1"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Signature:</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1" w:right="0" w:firstLine="0"/>
        <w:jc w:val="left"/>
        <w:rPr>
          <w:sz w:val="20"/>
          <w:szCs w:val="20"/>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1" w:right="0" w:firstLine="0"/>
        <w:jc w:val="left"/>
        <w:rPr>
          <w:sz w:val="20"/>
          <w:szCs w:val="20"/>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1" w:right="0" w:firstLine="0"/>
        <w:jc w:val="left"/>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1" w:right="0" w:firstLine="0"/>
        <w:jc w:val="left"/>
        <w:rPr>
          <w:sz w:val="20"/>
          <w:szCs w:val="20"/>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61" w:right="8215" w:firstLine="0"/>
        <w:jc w:val="left"/>
        <w:rPr>
          <w:sz w:val="20"/>
          <w:szCs w:val="20"/>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Title: </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61" w:right="8215" w:firstLine="0"/>
        <w:jc w:val="left"/>
        <w:rPr>
          <w:sz w:val="20"/>
          <w:szCs w:val="20"/>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61" w:right="8215" w:firstLine="0"/>
        <w:jc w:val="left"/>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8215" w:firstLine="0"/>
        <w:jc w:val="left"/>
        <w:rPr>
          <w:sz w:val="20"/>
          <w:szCs w:val="20"/>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61" w:right="8215"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Date:</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61" w:right="8215" w:firstLine="0"/>
        <w:jc w:val="left"/>
        <w:rPr>
          <w:sz w:val="20"/>
          <w:szCs w:val="20"/>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61" w:right="8215" w:firstLine="0"/>
        <w:jc w:val="left"/>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761" w:right="8215" w:firstLine="0"/>
        <w:jc w:val="left"/>
        <w:rPr>
          <w:sz w:val="20"/>
          <w:szCs w:val="20"/>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5">
      <w:pPr>
        <w:pStyle w:val="Heading1"/>
        <w:spacing w:before="1" w:lineRule="auto"/>
        <w:ind w:left="761" w:firstLine="0"/>
        <w:rPr/>
      </w:pPr>
      <w:r w:rsidDel="00000000" w:rsidR="00000000" w:rsidRPr="00000000">
        <w:rPr>
          <w:rtl w:val="0"/>
        </w:rPr>
        <w:t xml:space="preserve">and</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ab/>
      </w:r>
    </w:p>
    <w:p w:rsidR="00000000" w:rsidDel="00000000" w:rsidP="00000000" w:rsidRDefault="00000000" w:rsidRPr="00000000" w14:paraId="00000069">
      <w:pPr>
        <w:spacing w:before="1" w:lineRule="auto"/>
        <w:ind w:left="761"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By:</w:t>
      </w:r>
    </w:p>
    <w:p w:rsidR="00000000" w:rsidDel="00000000" w:rsidP="00000000" w:rsidRDefault="00000000" w:rsidRPr="00000000" w14:paraId="0000006A">
      <w:pPr>
        <w:spacing w:before="1" w:lineRule="auto"/>
        <w:ind w:left="761"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B">
      <w:pPr>
        <w:spacing w:before="1" w:lineRule="auto"/>
        <w:ind w:left="761"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C">
      <w:pPr>
        <w:spacing w:before="1" w:lineRule="auto"/>
        <w:ind w:left="761" w:firstLine="0"/>
        <w:rPr>
          <w:rFonts w:ascii="Arial" w:cs="Arial" w:eastAsia="Arial" w:hAnsi="Arial"/>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D">
      <w:pPr>
        <w:spacing w:before="1" w:lineRule="auto"/>
        <w:ind w:left="761"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61"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Signature:</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61" w:right="0" w:firstLine="0"/>
        <w:jc w:val="left"/>
        <w:rPr>
          <w:sz w:val="20"/>
          <w:szCs w:val="20"/>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61" w:right="0" w:firstLine="0"/>
        <w:jc w:val="left"/>
        <w:rPr>
          <w:sz w:val="20"/>
          <w:szCs w:val="20"/>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61" w:right="0" w:firstLine="0"/>
        <w:jc w:val="left"/>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61" w:right="0" w:firstLine="0"/>
        <w:jc w:val="left"/>
        <w:rPr>
          <w:sz w:val="20"/>
          <w:szCs w:val="20"/>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1"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Title: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1" w:right="0" w:firstLine="0"/>
        <w:jc w:val="left"/>
        <w:rPr>
          <w:sz w:val="20"/>
          <w:szCs w:val="20"/>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1" w:right="0" w:firstLine="0"/>
        <w:jc w:val="left"/>
        <w:rPr>
          <w:sz w:val="20"/>
          <w:szCs w:val="20"/>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1" w:right="0" w:firstLine="0"/>
        <w:jc w:val="left"/>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1"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Date: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1" w:right="0" w:firstLine="0"/>
        <w:jc w:val="left"/>
        <w:rPr>
          <w:sz w:val="20"/>
          <w:szCs w:val="20"/>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1" w:right="0" w:firstLine="0"/>
        <w:jc w:val="left"/>
        <w:rPr>
          <w:sz w:val="20"/>
          <w:szCs w:val="20"/>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1" w:right="0" w:firstLine="0"/>
        <w:jc w:val="left"/>
        <w:rPr>
          <w:sz w:val="20"/>
          <w:szCs w:val="20"/>
        </w:rPr>
      </w:pPr>
      <w:r w:rsidDel="00000000" w:rsidR="00000000" w:rsidRPr="00000000">
        <w:rPr>
          <w:sz w:val="20"/>
          <w:szCs w:val="20"/>
          <w:rtl w:val="0"/>
        </w:rPr>
        <w:t xml:space="preserve">______________________</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ectPr>
          <w:type w:val="nextPage"/>
          <w:pgSz w:h="15840" w:w="12240" w:orient="portrait"/>
          <w:pgMar w:bottom="940" w:top="1020" w:left="1580" w:right="600" w:header="0" w:footer="740"/>
        </w:sectPr>
      </w:pPr>
      <w:r w:rsidDel="00000000" w:rsidR="00000000" w:rsidRPr="00000000">
        <w:rPr>
          <w:rtl w:val="0"/>
        </w:rPr>
        <w:t xml:space="preserve">THE REST OF THE  PAGE IS BLANK  </w:t>
      </w:r>
    </w:p>
    <w:p w:rsidR="00000000" w:rsidDel="00000000" w:rsidP="00000000" w:rsidRDefault="00000000" w:rsidRPr="00000000" w14:paraId="00000086">
      <w:pPr>
        <w:spacing w:before="68" w:line="424" w:lineRule="auto"/>
        <w:ind w:left="4067" w:right="4299" w:firstLine="281.9999999999999"/>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Addendum A “Agent” Buy Rate</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221" w:right="589" w:firstLine="61.000000000000014"/>
        <w:jc w:val="both"/>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“Service Provider” will pay Agent an amount equal to :</w:t>
      </w:r>
    </w:p>
    <w:p w:rsidR="00000000" w:rsidDel="00000000" w:rsidP="00000000" w:rsidRDefault="00000000" w:rsidRPr="00000000" w14:paraId="0000008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56" w:lineRule="auto"/>
        <w:ind w:left="720" w:right="589" w:hanging="360"/>
        <w:jc w:val="both"/>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sz w:val="20"/>
          <w:szCs w:val="20"/>
          <w:rtl w:val="0"/>
        </w:rPr>
        <w:t xml:space="preserve">A</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ll the funds received by ............................................................................... from merchants submitted by Agent to ............................................................................... under this Agreement</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720" w:right="589" w:firstLine="0"/>
        <w:jc w:val="both"/>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56" w:lineRule="auto"/>
        <w:ind w:left="720" w:right="589" w:hanging="360"/>
        <w:jc w:val="both"/>
        <w:rPr>
          <w:sz w:val="20"/>
          <w:szCs w:val="20"/>
          <w:u w:val="none"/>
        </w:rPr>
      </w:pPr>
      <w:r w:rsidDel="00000000" w:rsidR="00000000" w:rsidRPr="00000000">
        <w:rPr>
          <w:sz w:val="20"/>
          <w:szCs w:val="20"/>
          <w:rtl w:val="0"/>
        </w:rPr>
        <w:t xml:space="preserve">Less the costs as set Fourth below </w:t>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MT" w:cs="Arial MT" w:eastAsia="Arial MT" w:hAnsi="Arial MT"/>
          <w:b w:val="0"/>
          <w:i w:val="0"/>
          <w:smallCaps w:val="0"/>
          <w:strike w:val="0"/>
          <w:color w:val="000000"/>
          <w:sz w:val="13"/>
          <w:szCs w:val="13"/>
          <w:u w:val="none"/>
          <w:shd w:fill="auto" w:val="clear"/>
          <w:vertAlign w:val="baseline"/>
        </w:rPr>
      </w:pPr>
      <w:r w:rsidDel="00000000" w:rsidR="00000000" w:rsidRPr="00000000">
        <w:rPr>
          <w:rtl w:val="0"/>
        </w:rPr>
      </w:r>
    </w:p>
    <w:tbl>
      <w:tblPr>
        <w:tblStyle w:val="Table1"/>
        <w:tblW w:w="9838.0" w:type="dxa"/>
        <w:jc w:val="left"/>
        <w:tblInd w:w="11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190"/>
        <w:gridCol w:w="5648"/>
        <w:tblGridChange w:id="0">
          <w:tblGrid>
            <w:gridCol w:w="4190"/>
            <w:gridCol w:w="5648"/>
          </w:tblGrid>
        </w:tblGridChange>
      </w:tblGrid>
      <w:tr>
        <w:trPr>
          <w:cantSplit w:val="0"/>
          <w:trHeight w:val="228" w:hRule="atLeast"/>
          <w:tblHeader w:val="0"/>
        </w:trPr>
        <w:tc>
          <w:tcPr>
            <w:tcBorders>
              <w:left w:color="000000" w:space="0" w:sz="4" w:val="single"/>
              <w:right w:color="000000" w:space="0" w:sz="4" w:val="single"/>
            </w:tcBorders>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09" w:lineRule="auto"/>
              <w:ind w:left="10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ITEM</w:t>
            </w:r>
          </w:p>
        </w:tc>
        <w:tc>
          <w:tcPr>
            <w:tcBorders>
              <w:left w:color="000000" w:space="0" w:sz="4" w:val="single"/>
              <w:right w:color="000000" w:space="0" w:sz="4" w:val="single"/>
            </w:tcBorders>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09" w:lineRule="auto"/>
              <w:ind w:left="108"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AMOUNT</w:t>
            </w:r>
          </w:p>
        </w:tc>
      </w:tr>
      <w:tr>
        <w:trPr>
          <w:cantSplit w:val="0"/>
          <w:trHeight w:val="231" w:hRule="atLeast"/>
          <w:tblHeader w:val="0"/>
        </w:trPr>
        <w:tc>
          <w:tcPr>
            <w:tcBorders>
              <w:left w:color="000000" w:space="0" w:sz="4" w:val="single"/>
              <w:right w:color="000000" w:space="0" w:sz="4" w:val="single"/>
            </w:tcBorders>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11" w:lineRule="auto"/>
              <w:ind w:left="109"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CREDIT &amp; DEBIT DISCOUNT RATE (NET)</w:t>
            </w:r>
          </w:p>
        </w:tc>
        <w:tc>
          <w:tcPr>
            <w:tcBorders>
              <w:left w:color="000000" w:space="0" w:sz="4" w:val="single"/>
              <w:right w:color="000000" w:space="0" w:sz="4" w:val="single"/>
            </w:tcBorders>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42" w:hRule="atLeast"/>
          <w:tblHeader w:val="0"/>
        </w:trPr>
        <w:tc>
          <w:tcPr>
            <w:tcBorders>
              <w:left w:color="000000" w:space="0" w:sz="4" w:val="single"/>
              <w:right w:color="000000" w:space="0" w:sz="4" w:val="single"/>
            </w:tcBorders>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25" w:lineRule="auto"/>
              <w:ind w:left="109"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MERCHANT PAYOUTS PERIOD</w:t>
            </w:r>
          </w:p>
        </w:tc>
        <w:tc>
          <w:tcPr>
            <w:tcBorders>
              <w:left w:color="000000" w:space="0" w:sz="4" w:val="single"/>
              <w:right w:color="000000" w:space="0" w:sz="4" w:val="single"/>
            </w:tcBorders>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30" w:hRule="atLeast"/>
          <w:tblHeader w:val="0"/>
        </w:trPr>
        <w:tc>
          <w:tcPr>
            <w:tcBorders>
              <w:left w:color="000000" w:space="0" w:sz="4" w:val="single"/>
              <w:right w:color="000000" w:space="0" w:sz="4" w:val="single"/>
            </w:tcBorders>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11" w:lineRule="auto"/>
              <w:ind w:left="109"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TRANSACTION</w:t>
            </w:r>
          </w:p>
        </w:tc>
        <w:tc>
          <w:tcPr>
            <w:tcBorders>
              <w:left w:color="000000" w:space="0" w:sz="4" w:val="single"/>
              <w:right w:color="000000" w:space="0" w:sz="4" w:val="single"/>
            </w:tcBorders>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sz w:val="20"/>
                <w:szCs w:val="20"/>
                <w:rtl w:val="0"/>
              </w:rPr>
              <w:t xml:space="preserve">180-day</w:t>
            </w:r>
            <w:r w:rsidDel="00000000" w:rsidR="00000000" w:rsidRPr="00000000">
              <w:rPr>
                <w:rtl w:val="0"/>
              </w:rPr>
            </w:r>
          </w:p>
        </w:tc>
      </w:tr>
      <w:tr>
        <w:trPr>
          <w:cantSplit w:val="0"/>
          <w:trHeight w:val="229" w:hRule="atLeast"/>
          <w:tblHeader w:val="0"/>
        </w:trPr>
        <w:tc>
          <w:tcPr>
            <w:tcBorders>
              <w:left w:color="000000" w:space="0" w:sz="4" w:val="single"/>
              <w:right w:color="000000" w:space="0" w:sz="4" w:val="single"/>
            </w:tcBorders>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09" w:lineRule="auto"/>
              <w:ind w:left="109"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sz w:val="20"/>
                <w:szCs w:val="20"/>
                <w:rtl w:val="0"/>
              </w:rPr>
              <w:t xml:space="preserve">180-day</w:t>
            </w: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 rolling RESERVE</w:t>
            </w:r>
          </w:p>
        </w:tc>
        <w:tc>
          <w:tcPr>
            <w:tcBorders>
              <w:left w:color="000000" w:space="0" w:sz="4" w:val="single"/>
              <w:right w:color="000000" w:space="0" w:sz="4" w:val="single"/>
            </w:tcBorders>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09" w:lineRule="auto"/>
              <w:ind w:left="108"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If applicable</w:t>
            </w:r>
          </w:p>
        </w:tc>
      </w:tr>
      <w:tr>
        <w:trPr>
          <w:cantSplit w:val="0"/>
          <w:trHeight w:val="230" w:hRule="atLeast"/>
          <w:tblHeader w:val="0"/>
        </w:trPr>
        <w:tc>
          <w:tcPr>
            <w:tcBorders>
              <w:left w:color="000000" w:space="0" w:sz="4" w:val="single"/>
              <w:right w:color="000000" w:space="0" w:sz="4" w:val="single"/>
            </w:tcBorders>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11" w:lineRule="auto"/>
              <w:ind w:left="109"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CHARGEBACKS FEES</w:t>
            </w:r>
          </w:p>
        </w:tc>
        <w:tc>
          <w:tcPr>
            <w:tcBorders>
              <w:left w:color="000000" w:space="0" w:sz="4" w:val="single"/>
              <w:right w:color="000000" w:space="0" w:sz="4" w:val="single"/>
            </w:tcBorders>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11" w:lineRule="auto"/>
              <w:ind w:left="108"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If applicable</w:t>
            </w:r>
          </w:p>
        </w:tc>
      </w:tr>
      <w:tr>
        <w:trPr>
          <w:cantSplit w:val="0"/>
          <w:trHeight w:val="229" w:hRule="atLeast"/>
          <w:tblHeader w:val="0"/>
        </w:trPr>
        <w:tc>
          <w:tcPr>
            <w:tcBorders>
              <w:left w:color="000000" w:space="0" w:sz="4" w:val="single"/>
              <w:right w:color="000000" w:space="0" w:sz="4" w:val="single"/>
            </w:tcBorders>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09" w:lineRule="auto"/>
              <w:ind w:left="109"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REFUNDS FEES</w:t>
            </w:r>
          </w:p>
        </w:tc>
        <w:tc>
          <w:tcPr>
            <w:tcBorders>
              <w:left w:color="000000" w:space="0" w:sz="4" w:val="single"/>
              <w:right w:color="000000" w:space="0" w:sz="4" w:val="single"/>
            </w:tcBorders>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09" w:lineRule="auto"/>
              <w:ind w:left="108"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If applicable</w:t>
            </w:r>
          </w:p>
        </w:tc>
      </w:tr>
      <w:tr>
        <w:trPr>
          <w:cantSplit w:val="0"/>
          <w:trHeight w:val="224" w:hRule="atLeast"/>
          <w:tblHeader w:val="0"/>
        </w:trPr>
        <w:tc>
          <w:tcPr>
            <w:tcBorders>
              <w:left w:color="000000" w:space="0" w:sz="4" w:val="single"/>
              <w:right w:color="000000" w:space="0" w:sz="4" w:val="single"/>
            </w:tcBorders>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05" w:lineRule="auto"/>
              <w:ind w:left="109"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WIRE TRANSFER or ACH</w:t>
            </w:r>
          </w:p>
        </w:tc>
        <w:tc>
          <w:tcPr>
            <w:tcBorders>
              <w:left w:color="000000" w:space="0" w:sz="4" w:val="single"/>
              <w:right w:color="000000" w:space="0" w:sz="4" w:val="single"/>
            </w:tcBorders>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5" w:hRule="atLeast"/>
          <w:tblHeader w:val="0"/>
        </w:trPr>
        <w:tc>
          <w:tcPr>
            <w:tcBorders>
              <w:left w:color="000000" w:space="0" w:sz="4" w:val="single"/>
              <w:right w:color="000000" w:space="0" w:sz="4" w:val="single"/>
            </w:tcBorders>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5" w:hRule="atLeast"/>
          <w:tblHeader w:val="0"/>
        </w:trPr>
        <w:tc>
          <w:tcPr>
            <w:tcBorders>
              <w:left w:color="000000" w:space="0" w:sz="4" w:val="single"/>
              <w:right w:color="000000" w:space="0" w:sz="4" w:val="single"/>
            </w:tcBorders>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A4">
      <w:pPr>
        <w:pStyle w:val="Heading1"/>
        <w:spacing w:before="94" w:lineRule="auto"/>
        <w:ind w:left="0" w:right="286" w:firstLine="0"/>
        <w:jc w:val="center"/>
        <w:rPr/>
      </w:pPr>
      <w:r w:rsidDel="00000000" w:rsidR="00000000" w:rsidRPr="00000000">
        <w:rPr>
          <w:rtl w:val="0"/>
        </w:rPr>
        <w:t xml:space="preserve">Addendum B</w:t>
      </w:r>
    </w:p>
    <w:p w:rsidR="00000000" w:rsidDel="00000000" w:rsidP="00000000" w:rsidRDefault="00000000" w:rsidRPr="00000000" w14:paraId="000000A5">
      <w:pPr>
        <w:spacing w:before="176" w:lineRule="auto"/>
        <w:ind w:right="67"/>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Excluded Products and Countries</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82"/>
        </w:tabs>
        <w:spacing w:after="0" w:before="0" w:line="240" w:lineRule="auto"/>
        <w:ind w:left="582" w:right="0" w:hanging="361"/>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The following product(s) are not acceptable to Bank or “Service Provider” for processing. They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are;</w:t>
      </w: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2"/>
        </w:tabs>
        <w:spacing w:after="0" w:before="0" w:line="240" w:lineRule="auto"/>
        <w:ind w:left="582" w:righ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2"/>
        </w:tabs>
        <w:spacing w:after="0" w:before="0" w:line="240" w:lineRule="auto"/>
        <w:ind w:left="582" w:righ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2"/>
        </w:tabs>
        <w:spacing w:after="0" w:before="0" w:line="240" w:lineRule="auto"/>
        <w:ind w:left="582" w:righ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2"/>
        </w:tabs>
        <w:spacing w:after="0" w:before="0" w:line="240" w:lineRule="auto"/>
        <w:ind w:left="582" w:right="0" w:firstLine="0"/>
        <w:jc w:val="both"/>
        <w:rPr>
          <w:rFonts w:ascii="Arial" w:cs="Arial" w:eastAsia="Arial" w:hAnsi="Arial"/>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2"/>
        </w:tabs>
        <w:spacing w:after="0" w:before="0" w:line="240" w:lineRule="auto"/>
        <w:ind w:left="582" w:righ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2"/>
        </w:tabs>
        <w:spacing w:after="0" w:before="0" w:line="240" w:lineRule="auto"/>
        <w:ind w:left="582" w:right="0" w:firstLine="0"/>
        <w:jc w:val="both"/>
        <w:rPr>
          <w:rFonts w:ascii="Arial" w:cs="Arial" w:eastAsia="Arial" w:hAnsi="Arial"/>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2"/>
        </w:tabs>
        <w:spacing w:after="0" w:before="0" w:line="240" w:lineRule="auto"/>
        <w:ind w:left="0" w:righ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2"/>
        </w:tabs>
        <w:spacing w:after="0" w:before="0" w:line="240" w:lineRule="auto"/>
        <w:ind w:left="582" w:right="0" w:firstLine="0"/>
        <w:jc w:val="both"/>
        <w:rPr>
          <w:rFonts w:ascii="Arial" w:cs="Arial" w:eastAsia="Arial" w:hAnsi="Arial"/>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2"/>
        </w:tabs>
        <w:spacing w:after="0" w:before="0" w:line="240" w:lineRule="auto"/>
        <w:ind w:left="582" w:righ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82"/>
        </w:tabs>
        <w:spacing w:after="0" w:before="160" w:line="240" w:lineRule="auto"/>
        <w:ind w:left="582" w:right="0" w:hanging="361"/>
        <w:jc w:val="both"/>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The following Countries are not acceptable to Bank or “Service Provider” for processing. They are;</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907"/>
          <w:tab w:val="left" w:leader="none" w:pos="908"/>
        </w:tabs>
        <w:spacing w:after="0" w:before="0" w:line="240" w:lineRule="auto"/>
        <w:ind w:left="491" w:right="7695" w:firstLine="0"/>
        <w:jc w:val="both"/>
        <w:rPr>
          <w:b w:val="0"/>
          <w:i w:val="0"/>
          <w:smallCaps w:val="0"/>
          <w:strike w:val="0"/>
          <w:color w:val="00000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OFAC Countries </w:t>
      </w: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908"/>
        </w:tabs>
        <w:spacing w:after="0" w:before="0" w:line="240" w:lineRule="auto"/>
        <w:ind w:left="492" w:right="7695" w:firstLine="0"/>
        <w:jc w:val="both"/>
        <w:rPr>
          <w:sz w:val="20"/>
          <w:szCs w:val="20"/>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908"/>
        </w:tabs>
        <w:spacing w:after="0" w:before="0" w:line="240" w:lineRule="auto"/>
        <w:ind w:left="492" w:right="7695" w:firstLine="0"/>
        <w:jc w:val="both"/>
        <w:rPr>
          <w:sz w:val="20"/>
          <w:szCs w:val="20"/>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908"/>
        </w:tabs>
        <w:spacing w:after="0" w:before="0" w:line="240" w:lineRule="auto"/>
        <w:ind w:left="492" w:right="7695" w:firstLine="0"/>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908"/>
        </w:tabs>
        <w:spacing w:after="0" w:before="0" w:line="240" w:lineRule="auto"/>
        <w:ind w:left="492" w:right="7695" w:firstLine="0"/>
        <w:jc w:val="both"/>
        <w:rPr>
          <w:sz w:val="20"/>
          <w:szCs w:val="20"/>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908"/>
        </w:tabs>
        <w:spacing w:after="0" w:before="0" w:line="240" w:lineRule="auto"/>
        <w:ind w:left="492" w:right="7695" w:firstLine="0"/>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908"/>
        </w:tabs>
        <w:spacing w:after="0" w:before="0" w:line="240" w:lineRule="auto"/>
        <w:ind w:left="492" w:right="7695" w:firstLine="0"/>
        <w:jc w:val="both"/>
        <w:rPr>
          <w:sz w:val="20"/>
          <w:szCs w:val="20"/>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908"/>
        </w:tabs>
        <w:spacing w:after="0" w:before="0" w:line="240" w:lineRule="auto"/>
        <w:ind w:left="492" w:right="7695" w:firstLine="0"/>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908"/>
        </w:tabs>
        <w:spacing w:after="0" w:before="0" w:line="240" w:lineRule="auto"/>
        <w:ind w:left="492" w:right="7695" w:firstLine="0"/>
        <w:jc w:val="both"/>
        <w:rPr>
          <w:sz w:val="20"/>
          <w:szCs w:val="20"/>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908"/>
        </w:tabs>
        <w:spacing w:after="0" w:before="0" w:line="240" w:lineRule="auto"/>
        <w:ind w:left="492" w:right="7695" w:firstLine="0"/>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908"/>
        </w:tabs>
        <w:spacing w:after="0" w:before="0" w:line="240" w:lineRule="auto"/>
        <w:ind w:left="492" w:right="7695" w:firstLine="0"/>
        <w:jc w:val="both"/>
        <w:rPr>
          <w:sz w:val="20"/>
          <w:szCs w:val="20"/>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908"/>
        </w:tabs>
        <w:spacing w:after="0" w:before="0" w:line="240" w:lineRule="auto"/>
        <w:ind w:left="492" w:right="7695" w:firstLine="0"/>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908"/>
        </w:tabs>
        <w:spacing w:after="0" w:before="0" w:line="240" w:lineRule="auto"/>
        <w:ind w:left="492" w:right="7695" w:firstLine="0"/>
        <w:jc w:val="both"/>
        <w:rPr>
          <w:sz w:val="20"/>
          <w:szCs w:val="20"/>
        </w:rPr>
      </w:pPr>
      <w:r w:rsidDel="00000000" w:rsidR="00000000" w:rsidRPr="00000000">
        <w:rPr>
          <w:rtl w:val="0"/>
        </w:rPr>
      </w:r>
    </w:p>
    <w:sectPr>
      <w:type w:val="nextPage"/>
      <w:pgSz w:h="15840" w:w="12240" w:orient="portrait"/>
      <w:pgMar w:bottom="940" w:top="1280" w:left="1580" w:right="600" w:header="0" w:footer="7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rebuchet MS"/>
  <w:font w:name="Times New Roman"/>
  <w:font w:name="Arial 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5676900</wp:posOffset>
              </wp:positionH>
              <wp:positionV relativeFrom="paragraph">
                <wp:posOffset>9423400</wp:posOffset>
              </wp:positionV>
              <wp:extent cx="149225" cy="175895"/>
              <wp:effectExtent b="0" l="0" r="0" t="0"/>
              <wp:wrapNone/>
              <wp:docPr id="2" name=""/>
              <a:graphic>
                <a:graphicData uri="http://schemas.microsoft.com/office/word/2010/wordprocessingShape">
                  <wps:wsp>
                    <wps:cNvSpPr/>
                    <wps:cNvPr id="2" name="Shape 2"/>
                    <wps:spPr>
                      <a:xfrm>
                        <a:off x="5276150" y="3696815"/>
                        <a:ext cx="139700" cy="166370"/>
                      </a:xfrm>
                      <a:custGeom>
                        <a:rect b="b" l="l" r="r" t="t"/>
                        <a:pathLst>
                          <a:path extrusionOk="0" h="166370" w="139700">
                            <a:moveTo>
                              <a:pt x="0" y="0"/>
                            </a:moveTo>
                            <a:lnTo>
                              <a:pt x="0" y="166370"/>
                            </a:lnTo>
                            <a:lnTo>
                              <a:pt x="139700" y="166370"/>
                            </a:lnTo>
                            <a:lnTo>
                              <a:pt x="139700" y="0"/>
                            </a:lnTo>
                            <a:close/>
                          </a:path>
                        </a:pathLst>
                      </a:custGeom>
                      <a:noFill/>
                      <a:ln>
                        <a:noFill/>
                      </a:ln>
                    </wps:spPr>
                    <wps:txbx>
                      <w:txbxContent>
                        <w:p w:rsidR="00000000" w:rsidDel="00000000" w:rsidP="00000000" w:rsidRDefault="00000000" w:rsidRPr="00000000">
                          <w:pPr>
                            <w:spacing w:after="0" w:before="11.000000238418579" w:line="240"/>
                            <w:ind w:left="60" w:right="0" w:firstLine="6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PAGE 1</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5676900</wp:posOffset>
              </wp:positionH>
              <wp:positionV relativeFrom="paragraph">
                <wp:posOffset>9423400</wp:posOffset>
              </wp:positionV>
              <wp:extent cx="149225" cy="175895"/>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49225" cy="17589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582" w:hanging="360"/>
      </w:pPr>
      <w:rPr>
        <w:rFonts w:ascii="Arial" w:cs="Arial" w:eastAsia="Arial" w:hAnsi="Arial"/>
        <w:b w:val="1"/>
        <w:sz w:val="20"/>
        <w:szCs w:val="20"/>
      </w:rPr>
    </w:lvl>
    <w:lvl w:ilvl="1">
      <w:start w:val="0"/>
      <w:numFmt w:val="bullet"/>
      <w:lvlText w:val="•"/>
      <w:lvlJc w:val="left"/>
      <w:pPr>
        <w:ind w:left="1528" w:hanging="360"/>
      </w:pPr>
      <w:rPr/>
    </w:lvl>
    <w:lvl w:ilvl="2">
      <w:start w:val="0"/>
      <w:numFmt w:val="bullet"/>
      <w:lvlText w:val="•"/>
      <w:lvlJc w:val="left"/>
      <w:pPr>
        <w:ind w:left="2476" w:hanging="360"/>
      </w:pPr>
      <w:rPr/>
    </w:lvl>
    <w:lvl w:ilvl="3">
      <w:start w:val="0"/>
      <w:numFmt w:val="bullet"/>
      <w:lvlText w:val="•"/>
      <w:lvlJc w:val="left"/>
      <w:pPr>
        <w:ind w:left="3424" w:hanging="360"/>
      </w:pPr>
      <w:rPr/>
    </w:lvl>
    <w:lvl w:ilvl="4">
      <w:start w:val="0"/>
      <w:numFmt w:val="bullet"/>
      <w:lvlText w:val="•"/>
      <w:lvlJc w:val="left"/>
      <w:pPr>
        <w:ind w:left="4372" w:hanging="360"/>
      </w:pPr>
      <w:rPr/>
    </w:lvl>
    <w:lvl w:ilvl="5">
      <w:start w:val="0"/>
      <w:numFmt w:val="bullet"/>
      <w:lvlText w:val="•"/>
      <w:lvlJc w:val="left"/>
      <w:pPr>
        <w:ind w:left="5320" w:hanging="360"/>
      </w:pPr>
      <w:rPr/>
    </w:lvl>
    <w:lvl w:ilvl="6">
      <w:start w:val="0"/>
      <w:numFmt w:val="bullet"/>
      <w:lvlText w:val="•"/>
      <w:lvlJc w:val="left"/>
      <w:pPr>
        <w:ind w:left="6268" w:hanging="360"/>
      </w:pPr>
      <w:rPr/>
    </w:lvl>
    <w:lvl w:ilvl="7">
      <w:start w:val="0"/>
      <w:numFmt w:val="bullet"/>
      <w:lvlText w:val="•"/>
      <w:lvlJc w:val="left"/>
      <w:pPr>
        <w:ind w:left="7216" w:hanging="360"/>
      </w:pPr>
      <w:rPr/>
    </w:lvl>
    <w:lvl w:ilvl="8">
      <w:start w:val="0"/>
      <w:numFmt w:val="bullet"/>
      <w:lvlText w:val="•"/>
      <w:lvlJc w:val="left"/>
      <w:pPr>
        <w:ind w:left="8164" w:hanging="360"/>
      </w:pPr>
      <w:rPr/>
    </w:lvl>
  </w:abstractNum>
  <w:abstractNum w:abstractNumId="2">
    <w:lvl w:ilvl="0">
      <w:start w:val="1"/>
      <w:numFmt w:val="upperLetter"/>
      <w:lvlText w:val="%1."/>
      <w:lvlJc w:val="left"/>
      <w:pPr>
        <w:ind w:left="582" w:hanging="360"/>
      </w:pPr>
      <w:rPr>
        <w:rFonts w:ascii="Arial" w:cs="Arial" w:eastAsia="Arial" w:hAnsi="Arial"/>
        <w:b w:val="1"/>
        <w:sz w:val="20"/>
        <w:szCs w:val="20"/>
      </w:rPr>
    </w:lvl>
    <w:lvl w:ilvl="1">
      <w:start w:val="0"/>
      <w:numFmt w:val="bullet"/>
      <w:lvlText w:val="•"/>
      <w:lvlJc w:val="left"/>
      <w:pPr>
        <w:ind w:left="1528" w:hanging="360"/>
      </w:pPr>
      <w:rPr/>
    </w:lvl>
    <w:lvl w:ilvl="2">
      <w:start w:val="0"/>
      <w:numFmt w:val="bullet"/>
      <w:lvlText w:val="•"/>
      <w:lvlJc w:val="left"/>
      <w:pPr>
        <w:ind w:left="2476" w:hanging="360"/>
      </w:pPr>
      <w:rPr/>
    </w:lvl>
    <w:lvl w:ilvl="3">
      <w:start w:val="0"/>
      <w:numFmt w:val="bullet"/>
      <w:lvlText w:val="•"/>
      <w:lvlJc w:val="left"/>
      <w:pPr>
        <w:ind w:left="3424" w:hanging="360"/>
      </w:pPr>
      <w:rPr/>
    </w:lvl>
    <w:lvl w:ilvl="4">
      <w:start w:val="0"/>
      <w:numFmt w:val="bullet"/>
      <w:lvlText w:val="•"/>
      <w:lvlJc w:val="left"/>
      <w:pPr>
        <w:ind w:left="4372" w:hanging="360"/>
      </w:pPr>
      <w:rPr/>
    </w:lvl>
    <w:lvl w:ilvl="5">
      <w:start w:val="0"/>
      <w:numFmt w:val="bullet"/>
      <w:lvlText w:val="•"/>
      <w:lvlJc w:val="left"/>
      <w:pPr>
        <w:ind w:left="5320" w:hanging="360"/>
      </w:pPr>
      <w:rPr/>
    </w:lvl>
    <w:lvl w:ilvl="6">
      <w:start w:val="0"/>
      <w:numFmt w:val="bullet"/>
      <w:lvlText w:val="•"/>
      <w:lvlJc w:val="left"/>
      <w:pPr>
        <w:ind w:left="6268" w:hanging="360"/>
      </w:pPr>
      <w:rPr/>
    </w:lvl>
    <w:lvl w:ilvl="7">
      <w:start w:val="0"/>
      <w:numFmt w:val="bullet"/>
      <w:lvlText w:val="•"/>
      <w:lvlJc w:val="left"/>
      <w:pPr>
        <w:ind w:left="7216" w:hanging="360"/>
      </w:pPr>
      <w:rPr/>
    </w:lvl>
    <w:lvl w:ilvl="8">
      <w:start w:val="0"/>
      <w:numFmt w:val="bullet"/>
      <w:lvlText w:val="•"/>
      <w:lvlJc w:val="left"/>
      <w:pPr>
        <w:ind w:left="8164" w:hanging="360"/>
      </w:pPr>
      <w:rPr/>
    </w:lvl>
  </w:abstractNum>
  <w:abstractNum w:abstractNumId="3">
    <w:lvl w:ilvl="0">
      <w:start w:val="1"/>
      <w:numFmt w:val="upperLetter"/>
      <w:lvlText w:val="%1."/>
      <w:lvlJc w:val="left"/>
      <w:pPr>
        <w:ind w:left="582" w:hanging="360"/>
      </w:pPr>
      <w:rPr/>
    </w:lvl>
    <w:lvl w:ilvl="1">
      <w:start w:val="1"/>
      <w:numFmt w:val="decimal"/>
      <w:lvlText w:val="%2."/>
      <w:lvlJc w:val="left"/>
      <w:pPr>
        <w:ind w:left="492" w:hanging="416"/>
      </w:pPr>
      <w:rPr>
        <w:rFonts w:ascii="Arial MT" w:cs="Arial MT" w:eastAsia="Arial MT" w:hAnsi="Arial MT"/>
        <w:sz w:val="20"/>
        <w:szCs w:val="20"/>
      </w:rPr>
    </w:lvl>
    <w:lvl w:ilvl="2">
      <w:start w:val="0"/>
      <w:numFmt w:val="bullet"/>
      <w:lvlText w:val="•"/>
      <w:lvlJc w:val="left"/>
      <w:pPr>
        <w:ind w:left="1633" w:hanging="415.9999999999998"/>
      </w:pPr>
      <w:rPr/>
    </w:lvl>
    <w:lvl w:ilvl="3">
      <w:start w:val="0"/>
      <w:numFmt w:val="bullet"/>
      <w:lvlText w:val="•"/>
      <w:lvlJc w:val="left"/>
      <w:pPr>
        <w:ind w:left="2686" w:hanging="415.99999999999955"/>
      </w:pPr>
      <w:rPr/>
    </w:lvl>
    <w:lvl w:ilvl="4">
      <w:start w:val="0"/>
      <w:numFmt w:val="bullet"/>
      <w:lvlText w:val="•"/>
      <w:lvlJc w:val="left"/>
      <w:pPr>
        <w:ind w:left="3740" w:hanging="416"/>
      </w:pPr>
      <w:rPr/>
    </w:lvl>
    <w:lvl w:ilvl="5">
      <w:start w:val="0"/>
      <w:numFmt w:val="bullet"/>
      <w:lvlText w:val="•"/>
      <w:lvlJc w:val="left"/>
      <w:pPr>
        <w:ind w:left="4793" w:hanging="416"/>
      </w:pPr>
      <w:rPr/>
    </w:lvl>
    <w:lvl w:ilvl="6">
      <w:start w:val="0"/>
      <w:numFmt w:val="bullet"/>
      <w:lvlText w:val="•"/>
      <w:lvlJc w:val="left"/>
      <w:pPr>
        <w:ind w:left="5846" w:hanging="416"/>
      </w:pPr>
      <w:rPr/>
    </w:lvl>
    <w:lvl w:ilvl="7">
      <w:start w:val="0"/>
      <w:numFmt w:val="bullet"/>
      <w:lvlText w:val="•"/>
      <w:lvlJc w:val="left"/>
      <w:pPr>
        <w:ind w:left="6900" w:hanging="416"/>
      </w:pPr>
      <w:rPr/>
    </w:lvl>
    <w:lvl w:ilvl="8">
      <w:start w:val="0"/>
      <w:numFmt w:val="bullet"/>
      <w:lvlText w:val="•"/>
      <w:lvlJc w:val="left"/>
      <w:pPr>
        <w:ind w:left="7953" w:hanging="416.0000000000018"/>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upperLetter"/>
      <w:lvlText w:val="%1."/>
      <w:lvlJc w:val="left"/>
      <w:pPr>
        <w:ind w:left="582" w:hanging="360"/>
      </w:pPr>
      <w:rPr>
        <w:rFonts w:ascii="Arial MT" w:cs="Arial MT" w:eastAsia="Arial MT" w:hAnsi="Arial MT"/>
        <w:sz w:val="20"/>
        <w:szCs w:val="20"/>
      </w:rPr>
    </w:lvl>
    <w:lvl w:ilvl="1">
      <w:start w:val="0"/>
      <w:numFmt w:val="bullet"/>
      <w:lvlText w:val="•"/>
      <w:lvlJc w:val="left"/>
      <w:pPr>
        <w:ind w:left="1528" w:hanging="360"/>
      </w:pPr>
      <w:rPr/>
    </w:lvl>
    <w:lvl w:ilvl="2">
      <w:start w:val="0"/>
      <w:numFmt w:val="bullet"/>
      <w:lvlText w:val="•"/>
      <w:lvlJc w:val="left"/>
      <w:pPr>
        <w:ind w:left="2476" w:hanging="360"/>
      </w:pPr>
      <w:rPr/>
    </w:lvl>
    <w:lvl w:ilvl="3">
      <w:start w:val="0"/>
      <w:numFmt w:val="bullet"/>
      <w:lvlText w:val="•"/>
      <w:lvlJc w:val="left"/>
      <w:pPr>
        <w:ind w:left="3424" w:hanging="360"/>
      </w:pPr>
      <w:rPr/>
    </w:lvl>
    <w:lvl w:ilvl="4">
      <w:start w:val="0"/>
      <w:numFmt w:val="bullet"/>
      <w:lvlText w:val="•"/>
      <w:lvlJc w:val="left"/>
      <w:pPr>
        <w:ind w:left="4372" w:hanging="360"/>
      </w:pPr>
      <w:rPr/>
    </w:lvl>
    <w:lvl w:ilvl="5">
      <w:start w:val="0"/>
      <w:numFmt w:val="bullet"/>
      <w:lvlText w:val="•"/>
      <w:lvlJc w:val="left"/>
      <w:pPr>
        <w:ind w:left="5320" w:hanging="360"/>
      </w:pPr>
      <w:rPr/>
    </w:lvl>
    <w:lvl w:ilvl="6">
      <w:start w:val="0"/>
      <w:numFmt w:val="bullet"/>
      <w:lvlText w:val="•"/>
      <w:lvlJc w:val="left"/>
      <w:pPr>
        <w:ind w:left="6268" w:hanging="360"/>
      </w:pPr>
      <w:rPr/>
    </w:lvl>
    <w:lvl w:ilvl="7">
      <w:start w:val="0"/>
      <w:numFmt w:val="bullet"/>
      <w:lvlText w:val="•"/>
      <w:lvlJc w:val="left"/>
      <w:pPr>
        <w:ind w:left="7216" w:hanging="360"/>
      </w:pPr>
      <w:rPr/>
    </w:lvl>
    <w:lvl w:ilvl="8">
      <w:start w:val="0"/>
      <w:numFmt w:val="bullet"/>
      <w:lvlText w:val="•"/>
      <w:lvlJc w:val="left"/>
      <w:pPr>
        <w:ind w:left="8164" w:hanging="360"/>
      </w:pPr>
      <w:rPr/>
    </w:lvl>
  </w:abstractNum>
  <w:abstractNum w:abstractNumId="6">
    <w:lvl w:ilvl="0">
      <w:start w:val="1"/>
      <w:numFmt w:val="upperLetter"/>
      <w:lvlText w:val="%1."/>
      <w:lvlJc w:val="left"/>
      <w:pPr>
        <w:ind w:left="582" w:hanging="360"/>
      </w:pPr>
      <w:rPr>
        <w:rFonts w:ascii="Arial MT" w:cs="Arial MT" w:eastAsia="Arial MT" w:hAnsi="Arial MT"/>
        <w:sz w:val="20"/>
        <w:szCs w:val="20"/>
      </w:rPr>
    </w:lvl>
    <w:lvl w:ilvl="1">
      <w:start w:val="0"/>
      <w:numFmt w:val="bullet"/>
      <w:lvlText w:val="•"/>
      <w:lvlJc w:val="left"/>
      <w:pPr>
        <w:ind w:left="1528" w:hanging="360"/>
      </w:pPr>
      <w:rPr/>
    </w:lvl>
    <w:lvl w:ilvl="2">
      <w:start w:val="0"/>
      <w:numFmt w:val="bullet"/>
      <w:lvlText w:val="•"/>
      <w:lvlJc w:val="left"/>
      <w:pPr>
        <w:ind w:left="2476" w:hanging="360"/>
      </w:pPr>
      <w:rPr/>
    </w:lvl>
    <w:lvl w:ilvl="3">
      <w:start w:val="0"/>
      <w:numFmt w:val="bullet"/>
      <w:lvlText w:val="•"/>
      <w:lvlJc w:val="left"/>
      <w:pPr>
        <w:ind w:left="3424" w:hanging="360"/>
      </w:pPr>
      <w:rPr/>
    </w:lvl>
    <w:lvl w:ilvl="4">
      <w:start w:val="0"/>
      <w:numFmt w:val="bullet"/>
      <w:lvlText w:val="•"/>
      <w:lvlJc w:val="left"/>
      <w:pPr>
        <w:ind w:left="4372" w:hanging="360"/>
      </w:pPr>
      <w:rPr/>
    </w:lvl>
    <w:lvl w:ilvl="5">
      <w:start w:val="0"/>
      <w:numFmt w:val="bullet"/>
      <w:lvlText w:val="•"/>
      <w:lvlJc w:val="left"/>
      <w:pPr>
        <w:ind w:left="5320" w:hanging="360"/>
      </w:pPr>
      <w:rPr/>
    </w:lvl>
    <w:lvl w:ilvl="6">
      <w:start w:val="0"/>
      <w:numFmt w:val="bullet"/>
      <w:lvlText w:val="•"/>
      <w:lvlJc w:val="left"/>
      <w:pPr>
        <w:ind w:left="6268" w:hanging="360"/>
      </w:pPr>
      <w:rPr/>
    </w:lvl>
    <w:lvl w:ilvl="7">
      <w:start w:val="0"/>
      <w:numFmt w:val="bullet"/>
      <w:lvlText w:val="•"/>
      <w:lvlJc w:val="left"/>
      <w:pPr>
        <w:ind w:left="7216" w:hanging="360"/>
      </w:pPr>
      <w:rPr/>
    </w:lvl>
    <w:lvl w:ilvl="8">
      <w:start w:val="0"/>
      <w:numFmt w:val="bullet"/>
      <w:lvlText w:val="•"/>
      <w:lvlJc w:val="left"/>
      <w:pPr>
        <w:ind w:left="8164" w:hanging="360"/>
      </w:pPr>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MT" w:cs="Arial MT" w:eastAsia="Arial MT" w:hAnsi="Arial MT"/>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21"/>
    </w:pPr>
    <w:rPr>
      <w:rFonts w:ascii="Arial" w:cs="Arial" w:eastAsia="Arial" w:hAnsi="Arial"/>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1" w:lineRule="auto"/>
      <w:ind w:right="347"/>
      <w:jc w:val="center"/>
    </w:pPr>
    <w:rPr>
      <w:rFonts w:ascii="Arial" w:cs="Arial" w:eastAsia="Arial" w:hAnsi="Arial"/>
      <w:b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ind w:left="221"/>
    </w:pPr>
    <w:rPr>
      <w:rFonts w:ascii="Arial" w:cs="Arial" w:eastAsia="Arial" w:hAnsi="Arial"/>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1" w:lineRule="auto"/>
      <w:ind w:right="347"/>
      <w:jc w:val="center"/>
    </w:pPr>
    <w:rPr>
      <w:rFonts w:ascii="Arial" w:cs="Arial" w:eastAsia="Arial" w:hAnsi="Arial"/>
      <w:b w:val="1"/>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Nrjfva/2aT8IvA223YTvAWngRw==">CgMxLjA4AHIhMUJwam9ReVZ2RGxOUjhuNEpScE1WcEhDRTRvbEs5ckNz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